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60"/>
      </w:pPr>
      <w:r>
        <w:rPr>
          <w:rFonts w:ascii="Arial" w:cs="Arial" w:eastAsia="Arial" w:hAnsi="Arial"/>
          <w:b/>
          <w:bCs/>
          <w:i w:val="false"/>
          <w:iCs w:val="false"/>
          <w:color w:val="B23A18"/>
          <w:sz w:val="34"/>
          <w:szCs w:val="34"/>
        </w:rPr>
        <w:t xml:space="preserve">Finanzierungsanfrage</w:t>
      </w:r>
    </w:p>
    <w:p>
      <w:pPr>
        <w:spacing w:after="60" w:before="0" w:line="260"/>
      </w:pPr>
      <w:r>
        <w:rPr>
          <w:rFonts w:ascii="Arial" w:cs="Arial" w:eastAsia="Arial" w:hAnsi="Arial"/>
          <w:b w:val="false"/>
          <w:bCs w:val="false"/>
          <w:i w:val="false"/>
          <w:iCs w:val="false"/>
          <w:color w:val="4A4A45"/>
          <w:sz w:val="20"/>
          <w:szCs w:val="20"/>
        </w:rPr>
        <w:t xml:space="preserve">Musterstraße 12, 39104 Magdeburg  ·  Eigentumswohnung, 2 Zimmer, 68 m²</w:t>
      </w:r>
    </w:p>
    <w:p>
      <w:pPr>
        <w:spacing w:after="60" w:before="0" w:line="260"/>
      </w:pPr>
      <w:r>
        <w:rPr>
          <w:rFonts w:ascii="Arial" w:cs="Arial" w:eastAsia="Arial" w:hAnsi="Arial"/>
          <w:b w:val="false"/>
          <w:bCs w:val="false"/>
          <w:i w:val="false"/>
          <w:iCs w:val="false"/>
          <w:color w:val="4A4A45"/>
          <w:sz w:val="16"/>
          <w:szCs w:val="16"/>
        </w:rPr>
        <w:t xml:space="preserve">Deckblatt der Bonitätsakte  ·  Ausgefülltes Muster nach Kapitel 3.2  ·  Alle Zahlen und Adressen sind erfunden.</w:t>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Das Vorhaben in vier Zeilen</w:t>
      </w:r>
    </w:p>
    <w:p>
      <w:pPr>
        <w:spacing w:after="160" w:before="0" w:line="260"/>
      </w:pPr>
      <w:r>
        <w:rPr>
          <w:rFonts w:ascii="Arial" w:cs="Arial" w:eastAsia="Arial" w:hAnsi="Arial"/>
          <w:b w:val="false"/>
          <w:bCs w:val="false"/>
          <w:i w:val="false"/>
          <w:iCs w:val="false"/>
          <w:color w:val="1C1C1A"/>
          <w:sz w:val="19"/>
          <w:szCs w:val="19"/>
        </w:rPr>
        <w:t xml:space="preserve">Erwerb einer seit elf Jahren durchgehend vermieteten Zweizimmerwohnung im Bestand, Baujahr 1994, in einer Wohnungseigentümergemeinschaft mit 24 Einheiten. Die Wohnung ist bezugsfertig, kein Sanierungsstau, die Rücklage der Gemeinschaft liegt über dem Richtwert. Ziel ist der langfristige Bestandsaufbau, nicht der Weiterverkauf.</w:t>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Objekt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100"/>
        <w:gridCol w:w="6538"/>
      </w:tblGrid>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Adresse</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Musterstraße 12, 39104 Magdeburg, Wohnung Nr. 7, 2. OG</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Typ, Baujahr</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Eigentumswohnung im Mehrfamilienhaus, 1994</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Wohnfläche</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68 m²</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Einheiten in der WEG</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24, davon 6 vermietet</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Miteigentumsanteil</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81,2 / 1.000</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Energieausweis</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Verbrauchsausweis, 118 kWh/(m²·a), Klasse D</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Zustand</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Fenster 2016, Heizung 2019, Elektrik 2011 erneuert</w:t>
            </w:r>
          </w:p>
        </w:tc>
      </w:tr>
    </w:tbl>
    <w:p>
      <w:pPr>
        <w:keepNext/>
        <w:pBdr>
          <w:bottom w:val="single" w:color="B23A18" w:sz="4"/>
        </w:pBdr>
        <w:spacing w:after="100" w:before="260" w:line="260"/>
      </w:pPr>
      <w:r>
        <w:rPr>
          <w:rFonts w:ascii="Arial" w:cs="Arial" w:eastAsia="Arial" w:hAnsi="Arial"/>
          <w:b/>
          <w:bCs/>
          <w:i w:val="false"/>
          <w:iCs w:val="false"/>
          <w:color w:val="B23A18"/>
          <w:sz w:val="24"/>
          <w:szCs w:val="24"/>
        </w:rPr>
        <w:t xml:space="preserve">Kaufpreis und Investition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100"/>
        <w:gridCol w:w="6538"/>
      </w:tblGrid>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Kaufpreis</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95.000 €</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Kaufnebenkosten</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10.042 €  (Grunderwerbsteuer 5,0 %, Notar und Grundbuch 2,0 %, Courtage 3,57 %)</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Gesamtinvestition</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bCs/>
                <w:i w:val="false"/>
                <w:iCs w:val="false"/>
                <w:color w:val="B23A18"/>
                <w:sz w:val="19"/>
                <w:szCs w:val="19"/>
              </w:rPr>
              <w:t xml:space="preserve">105.042 €</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Kaufpreis je m²</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1.397 €</w:t>
            </w:r>
          </w:p>
        </w:tc>
      </w:tr>
    </w:tbl>
    <w:p>
      <w:pPr>
        <w:keepNext/>
        <w:pBdr>
          <w:bottom w:val="single" w:color="B23A18" w:sz="4"/>
        </w:pBdr>
        <w:spacing w:after="100" w:before="260" w:line="260"/>
      </w:pPr>
      <w:r>
        <w:rPr>
          <w:rFonts w:ascii="Arial" w:cs="Arial" w:eastAsia="Arial" w:hAnsi="Arial"/>
          <w:b/>
          <w:bCs/>
          <w:i w:val="false"/>
          <w:iCs w:val="false"/>
          <w:color w:val="B23A18"/>
          <w:sz w:val="24"/>
          <w:szCs w:val="24"/>
        </w:rPr>
        <w:t xml:space="preserve">Ertrag</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100"/>
        <w:gridCol w:w="6538"/>
      </w:tblGrid>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Ist-Kaltmiete</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480 € monatlich  ·  5.760 € im Jahr</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Ortsübliche Vergleichsmiete</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7,45 €/m², entspricht 507 € – Ist-Miete liegt darunter</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Kaufpreisfaktor</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bCs/>
                <w:i w:val="false"/>
                <w:iCs w:val="false"/>
                <w:color w:val="B23A18"/>
                <w:sz w:val="19"/>
                <w:szCs w:val="19"/>
              </w:rPr>
              <w:t xml:space="preserve">16,5</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Bruttomietrendite</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6,06 %</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Nicht umlagefähige Kosten</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1.551 € im Jahr, inklusive 680 € eigener Instandhaltungsrücklage</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Nettomietrendite</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4,01 % auf die Gesamtinvestition</w:t>
            </w:r>
          </w:p>
        </w:tc>
      </w:tr>
    </w:tbl>
    <w:p>
      <w:pPr>
        <w:keepNext/>
        <w:pBdr>
          <w:bottom w:val="single" w:color="B23A18" w:sz="4"/>
        </w:pBdr>
        <w:spacing w:after="100" w:before="260" w:line="260"/>
      </w:pPr>
      <w:r>
        <w:rPr>
          <w:rFonts w:ascii="Arial" w:cs="Arial" w:eastAsia="Arial" w:hAnsi="Arial"/>
          <w:b/>
          <w:bCs/>
          <w:i w:val="false"/>
          <w:iCs w:val="false"/>
          <w:color w:val="B23A18"/>
          <w:sz w:val="24"/>
          <w:szCs w:val="24"/>
        </w:rPr>
        <w:t xml:space="preserve">Finanzierungswunsch</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100"/>
        <w:gridCol w:w="6538"/>
      </w:tblGrid>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Darlehensbetrag</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bCs/>
                <w:i w:val="false"/>
                <w:iCs w:val="false"/>
                <w:color w:val="B23A18"/>
                <w:sz w:val="19"/>
                <w:szCs w:val="19"/>
              </w:rPr>
              <w:t xml:space="preserve">96.542 €</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Eigenkapital</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8.500 €, aus Tagesgeld, Nachweis liegt bei</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Beleihungsauslauf zum Kaufpreis</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101,6 %</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Gewünschte Zinsbindung</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15 Jahre</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Anfängliche Tilgung</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2,0 %, Sondertilgung 5 % jährlich erbeten</w:t>
            </w:r>
          </w:p>
        </w:tc>
      </w:tr>
      <w:tr>
        <w:tc>
          <w:tcPr>
            <w:tcW w:type="dxa" w:w="3100"/>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4A4A45"/>
                <w:sz w:val="18"/>
                <w:szCs w:val="18"/>
              </w:rPr>
              <w:t xml:space="preserve">Kapitaldienst</w:t>
            </w:r>
          </w:p>
        </w:tc>
        <w:tc>
          <w:tcPr>
            <w:tcW w:type="dxa" w:w="6538"/>
            <w:tcBorders>
              <w:top w:val="single" w:color="E3DDD0" w:sz="4"/>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5.744 € im Jahr, gedeckt zu 100 % aus der Miete zuzüglich 128 € monatlich aus dem Einkommen</w:t>
            </w:r>
          </w:p>
        </w:tc>
      </w:tr>
    </w:tbl>
    <w:p>
      <w:r>
        <w:br w:type="page"/>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Der Antragsteller in drei Zeilen</w:t>
      </w:r>
    </w:p>
    <w:p>
      <w:pPr>
        <w:spacing w:after="160" w:before="0" w:line="260"/>
      </w:pPr>
      <w:r>
        <w:rPr>
          <w:rFonts w:ascii="Arial" w:cs="Arial" w:eastAsia="Arial" w:hAnsi="Arial"/>
          <w:b w:val="false"/>
          <w:bCs w:val="false"/>
          <w:i w:val="false"/>
          <w:iCs w:val="false"/>
          <w:color w:val="1C1C1A"/>
          <w:sz w:val="19"/>
          <w:szCs w:val="19"/>
        </w:rPr>
        <w:t xml:space="preserve">Unbefristet angestellt seit 2017 beim selben Arbeitgeber, Nettoeinkommen 2.850 € monatlich, keine Konsumkredite, SCHUFA-Score im Bereich „hervorragend“. Nach dem Kauf verbleiben 6.200 € Reserve, das entspricht rund vier Monatsausgaben. Erstes Investment, deshalb bewusst ein kleines Objekt in einer stabilen Lage.</w:t>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Was an diesem Deal nicht glänzt</w:t>
      </w:r>
    </w:p>
    <w:tbl>
      <w:tblPr>
        <w:tblW w:type="dxa" w:w="9638"/>
        <w:tblBorders>
          <w:top w:val="none" w:color="FFFFFF" w:sz="0"/>
          <w:left w:val="single" w:color="B23A18" w:sz="18"/>
          <w:bottom w:val="none" w:color="FFFFFF" w:sz="0"/>
          <w:right w:val="none" w:color="FFFFFF" w:sz="0"/>
          <w:insideH w:val="none" w:color="FFFFFF" w:sz="0"/>
          <w:insideV w:val="none" w:color="FFFFFF" w:sz="0"/>
        </w:tblBorders>
      </w:tblPr>
      <w:tblGrid>
        <w:gridCol w:w="9638"/>
      </w:tblGrid>
      <w:tr>
        <w:tc>
          <w:tcPr>
            <w:tcW w:type="dxa" w:w="9638"/>
            <w:tcBorders>
              <w:top w:val="none" w:color="FFFFFF" w:sz="0"/>
              <w:left w:val="single" w:color="B23A18" w:sz="18"/>
              <w:bottom w:val="none" w:color="FFFFFF" w:sz="0"/>
              <w:right w:val="none" w:color="FFFFFF" w:sz="0"/>
            </w:tcBorders>
            <w:shd w:fill="FBF9F5" w:color="auto" w:val="clear"/>
            <w:tcMar>
              <w:top w:type="dxa" w:w="140"/>
              <w:left w:type="dxa" w:w="100"/>
              <w:bottom w:type="dxa" w:w="140"/>
              <w:right w:type="dxa" w:w="100"/>
            </w:tcMar>
            <w:vAlign w:val="center"/>
          </w:tcPr>
          <w:p>
            <w:pPr>
              <w:spacing w:after="80" w:before="0" w:line="260"/>
            </w:pPr>
            <w:r>
              <w:rPr>
                <w:rFonts w:ascii="Arial" w:cs="Arial" w:eastAsia="Arial" w:hAnsi="Arial"/>
                <w:b w:val="false"/>
                <w:bCs w:val="false"/>
                <w:i w:val="false"/>
                <w:iCs w:val="false"/>
                <w:color w:val="4A4A45"/>
                <w:sz w:val="17"/>
                <w:szCs w:val="17"/>
              </w:rPr>
              <w:t xml:space="preserve">Beleihungsauslauf über 100 %. Bewusst gewählt, um die Reserve nicht aufzubrauchen. Bei Bedarf kann das Eigenkapital auf 15.000 € erhöht werden; die Reserve läge dann noch bei rund zwei Monatsausgaben.</w:t>
            </w:r>
          </w:p>
          <w:p>
            <w:pPr>
              <w:spacing w:after="80" w:before="0" w:line="260"/>
            </w:pPr>
            <w:r>
              <w:rPr>
                <w:rFonts w:ascii="Arial" w:cs="Arial" w:eastAsia="Arial" w:hAnsi="Arial"/>
                <w:b w:val="false"/>
                <w:bCs w:val="false"/>
                <w:i w:val="false"/>
                <w:iCs w:val="false"/>
                <w:color w:val="4A4A45"/>
                <w:sz w:val="17"/>
                <w:szCs w:val="17"/>
              </w:rPr>
              <w:t xml:space="preserve">Die Ist-Miete liegt 27 € unter der ortsüblichen Vergleichsmiete. Eine Anpassung nach § 558 BGB ist möglich, ist in der Kalkulation aber nicht angesetzt.</w:t>
            </w:r>
          </w:p>
          <w:p>
            <w:pPr>
              <w:spacing w:after="0" w:before="0" w:line="260"/>
            </w:pPr>
            <w:r>
              <w:rPr>
                <w:rFonts w:ascii="Arial" w:cs="Arial" w:eastAsia="Arial" w:hAnsi="Arial"/>
                <w:b w:val="false"/>
                <w:bCs w:val="false"/>
                <w:i w:val="false"/>
                <w:iCs w:val="false"/>
                <w:color w:val="4A4A45"/>
                <w:sz w:val="17"/>
                <w:szCs w:val="17"/>
              </w:rPr>
              <w:t xml:space="preserve">Der Heizkessel stammt von 2019 und liegt damit vor der Verschärfung der Nachrüstpflichten. Ein Austausch ist in den nächsten zehn Jahren nicht zu erwarten; für den Fall ist die Rücklage der Gemeinschaft mit 41 €/m² ausreichend dotiert.</w:t>
            </w:r>
          </w:p>
        </w:tc>
      </w:tr>
    </w:tbl>
    <w:p>
      <w:pPr>
        <w:spacing w:after="60" w:before="0" w:line="260"/>
      </w:pPr>
      <w:r>
        <w:rPr>
          <w:rFonts w:ascii="Arial" w:cs="Arial" w:eastAsia="Arial" w:hAnsi="Arial"/>
          <w:b w:val="false"/>
          <w:bCs w:val="false"/>
          <w:i w:val="false"/>
          <w:iCs w:val="false"/>
          <w:color w:val="4A4A45"/>
          <w:sz w:val="16"/>
          <w:szCs w:val="16"/>
        </w:rPr>
        <w:t xml:space="preserve">Diese Seite ist kein Zugeständnis, sondern das Gegenteil: Wer die Schwächen seines eigenen Deals zuerst benennt, nimmt der Marktfolge die Arbeit ab – und die Diskussion vorweg.</w:t>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Beigefügte Unterlagen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40"/>
        <w:gridCol w:w="9298"/>
      </w:tblGrid>
      <w:tr>
        <w:tc>
          <w:tcPr>
            <w:tcW w:type="dxa" w:w="340"/>
            <w:tcBorders>
              <w:top w:val="single" w:color="4A4A45" w:sz="4"/>
              <w:left w:val="single" w:color="4A4A45" w:sz="4"/>
              <w:bottom w:val="single" w:color="4A4A45" w:sz="4"/>
              <w:right w:val="single" w:color="4A4A45" w:sz="4"/>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20"/>
                <w:szCs w:val="20"/>
              </w:rPr>
              <w:t xml:space="preserve"/>
            </w:r>
          </w:p>
        </w:tc>
        <w:tc>
          <w:tcPr>
            <w:tcW w:type="dxa" w:w="9298"/>
            <w:tcBorders>
              <w:top w:val="none" w:color="FFFFFF" w:sz="0"/>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01 Selbstauskunft mit Nachweisen</w:t>
            </w:r>
          </w:p>
        </w:tc>
      </w:tr>
      <w:tr>
        <w:tc>
          <w:tcPr>
            <w:tcW w:type="dxa" w:w="340"/>
            <w:tcBorders>
              <w:top w:val="single" w:color="4A4A45" w:sz="4"/>
              <w:left w:val="single" w:color="4A4A45" w:sz="4"/>
              <w:bottom w:val="single" w:color="4A4A45" w:sz="4"/>
              <w:right w:val="single" w:color="4A4A45" w:sz="4"/>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20"/>
                <w:szCs w:val="20"/>
              </w:rPr>
              <w:t xml:space="preserve"/>
            </w:r>
          </w:p>
        </w:tc>
        <w:tc>
          <w:tcPr>
            <w:tcW w:type="dxa" w:w="9298"/>
            <w:tcBorders>
              <w:top w:val="none" w:color="FFFFFF" w:sz="0"/>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02 Exposé und Grundriss</w:t>
            </w:r>
          </w:p>
        </w:tc>
      </w:tr>
      <w:tr>
        <w:tc>
          <w:tcPr>
            <w:tcW w:type="dxa" w:w="340"/>
            <w:tcBorders>
              <w:top w:val="single" w:color="4A4A45" w:sz="4"/>
              <w:left w:val="single" w:color="4A4A45" w:sz="4"/>
              <w:bottom w:val="single" w:color="4A4A45" w:sz="4"/>
              <w:right w:val="single" w:color="4A4A45" w:sz="4"/>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20"/>
                <w:szCs w:val="20"/>
              </w:rPr>
              <w:t xml:space="preserve"/>
            </w:r>
          </w:p>
        </w:tc>
        <w:tc>
          <w:tcPr>
            <w:tcW w:type="dxa" w:w="9298"/>
            <w:tcBorders>
              <w:top w:val="none" w:color="FFFFFF" w:sz="0"/>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03 Grundbuchauszug, Flurkarte</w:t>
            </w:r>
          </w:p>
        </w:tc>
      </w:tr>
      <w:tr>
        <w:tc>
          <w:tcPr>
            <w:tcW w:type="dxa" w:w="340"/>
            <w:tcBorders>
              <w:top w:val="single" w:color="4A4A45" w:sz="4"/>
              <w:left w:val="single" w:color="4A4A45" w:sz="4"/>
              <w:bottom w:val="single" w:color="4A4A45" w:sz="4"/>
              <w:right w:val="single" w:color="4A4A45" w:sz="4"/>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20"/>
                <w:szCs w:val="20"/>
              </w:rPr>
              <w:t xml:space="preserve"/>
            </w:r>
          </w:p>
        </w:tc>
        <w:tc>
          <w:tcPr>
            <w:tcW w:type="dxa" w:w="9298"/>
            <w:tcBorders>
              <w:top w:val="none" w:color="FFFFFF" w:sz="0"/>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04 Teilungserklärung mit Aufteilungsplan</w:t>
            </w:r>
          </w:p>
        </w:tc>
      </w:tr>
      <w:tr>
        <w:tc>
          <w:tcPr>
            <w:tcW w:type="dxa" w:w="340"/>
            <w:tcBorders>
              <w:top w:val="single" w:color="4A4A45" w:sz="4"/>
              <w:left w:val="single" w:color="4A4A45" w:sz="4"/>
              <w:bottom w:val="single" w:color="4A4A45" w:sz="4"/>
              <w:right w:val="single" w:color="4A4A45" w:sz="4"/>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20"/>
                <w:szCs w:val="20"/>
              </w:rPr>
              <w:t xml:space="preserve"/>
            </w:r>
          </w:p>
        </w:tc>
        <w:tc>
          <w:tcPr>
            <w:tcW w:type="dxa" w:w="9298"/>
            <w:tcBorders>
              <w:top w:val="none" w:color="FFFFFF" w:sz="0"/>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05 Wohnflächenberechnung</w:t>
            </w:r>
          </w:p>
        </w:tc>
      </w:tr>
      <w:tr>
        <w:tc>
          <w:tcPr>
            <w:tcW w:type="dxa" w:w="340"/>
            <w:tcBorders>
              <w:top w:val="single" w:color="4A4A45" w:sz="4"/>
              <w:left w:val="single" w:color="4A4A45" w:sz="4"/>
              <w:bottom w:val="single" w:color="4A4A45" w:sz="4"/>
              <w:right w:val="single" w:color="4A4A45" w:sz="4"/>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20"/>
                <w:szCs w:val="20"/>
              </w:rPr>
              <w:t xml:space="preserve"/>
            </w:r>
          </w:p>
        </w:tc>
        <w:tc>
          <w:tcPr>
            <w:tcW w:type="dxa" w:w="9298"/>
            <w:tcBorders>
              <w:top w:val="none" w:color="FFFFFF" w:sz="0"/>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06 Energieausweis</w:t>
            </w:r>
          </w:p>
        </w:tc>
      </w:tr>
      <w:tr>
        <w:tc>
          <w:tcPr>
            <w:tcW w:type="dxa" w:w="340"/>
            <w:tcBorders>
              <w:top w:val="single" w:color="4A4A45" w:sz="4"/>
              <w:left w:val="single" w:color="4A4A45" w:sz="4"/>
              <w:bottom w:val="single" w:color="4A4A45" w:sz="4"/>
              <w:right w:val="single" w:color="4A4A45" w:sz="4"/>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20"/>
                <w:szCs w:val="20"/>
              </w:rPr>
              <w:t xml:space="preserve"/>
            </w:r>
          </w:p>
        </w:tc>
        <w:tc>
          <w:tcPr>
            <w:tcW w:type="dxa" w:w="9298"/>
            <w:tcBorders>
              <w:top w:val="none" w:color="FFFFFF" w:sz="0"/>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07 WEG-Protokolle der letzten drei Jahre</w:t>
            </w:r>
          </w:p>
        </w:tc>
      </w:tr>
      <w:tr>
        <w:tc>
          <w:tcPr>
            <w:tcW w:type="dxa" w:w="340"/>
            <w:tcBorders>
              <w:top w:val="single" w:color="4A4A45" w:sz="4"/>
              <w:left w:val="single" w:color="4A4A45" w:sz="4"/>
              <w:bottom w:val="single" w:color="4A4A45" w:sz="4"/>
              <w:right w:val="single" w:color="4A4A45" w:sz="4"/>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20"/>
                <w:szCs w:val="20"/>
              </w:rPr>
              <w:t xml:space="preserve"/>
            </w:r>
          </w:p>
        </w:tc>
        <w:tc>
          <w:tcPr>
            <w:tcW w:type="dxa" w:w="9298"/>
            <w:tcBorders>
              <w:top w:val="none" w:color="FFFFFF" w:sz="0"/>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08 Wirtschaftsplan des laufenden Jahres, Nachweis der Erhaltungsrücklage</w:t>
            </w:r>
          </w:p>
        </w:tc>
      </w:tr>
      <w:tr>
        <w:tc>
          <w:tcPr>
            <w:tcW w:type="dxa" w:w="340"/>
            <w:tcBorders>
              <w:top w:val="single" w:color="4A4A45" w:sz="4"/>
              <w:left w:val="single" w:color="4A4A45" w:sz="4"/>
              <w:bottom w:val="single" w:color="4A4A45" w:sz="4"/>
              <w:right w:val="single" w:color="4A4A45" w:sz="4"/>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20"/>
                <w:szCs w:val="20"/>
              </w:rPr>
              <w:t xml:space="preserve"/>
            </w:r>
          </w:p>
        </w:tc>
        <w:tc>
          <w:tcPr>
            <w:tcW w:type="dxa" w:w="9298"/>
            <w:tcBorders>
              <w:top w:val="none" w:color="FFFFFF" w:sz="0"/>
              <w:left w:val="none" w:color="FFFFFF" w:sz="0"/>
              <w:bottom w:val="none" w:color="FFFFFF" w:sz="0"/>
              <w:right w:val="none" w:color="FFFFFF" w:sz="0"/>
            </w:tcBorders>
            <w:tcMar>
              <w:top w:type="dxa" w:w="70"/>
              <w:left w:type="dxa" w:w="100"/>
              <w:bottom w:type="dxa" w:w="70"/>
              <w:right w:type="dxa" w:w="100"/>
            </w:tcMar>
            <w:vAlign w:val="center"/>
          </w:tcPr>
          <w:p>
            <w:pPr>
              <w:spacing w:after="0" w:before="0" w:line="260"/>
            </w:pPr>
            <w:r>
              <w:rPr>
                <w:rFonts w:ascii="Arial" w:cs="Arial" w:eastAsia="Arial" w:hAnsi="Arial"/>
                <w:b w:val="false"/>
                <w:bCs w:val="false"/>
                <w:i w:val="false"/>
                <w:iCs w:val="false"/>
                <w:color w:val="1C1C1A"/>
                <w:sz w:val="19"/>
                <w:szCs w:val="19"/>
              </w:rPr>
              <w:t xml:space="preserve">09 Mietvertrag und Nachweis der Mieteingänge der letzten zwölf Monate</w:t>
            </w:r>
          </w:p>
        </w:tc>
      </w:tr>
    </w:tbl>
    <w:p>
      <w:pPr>
        <w:spacing w:before="30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400"/>
        <w:gridCol w:w="6238"/>
      </w:tblGrid>
      <w:tr>
        <w:tc>
          <w:tcPr>
            <w:tcW w:type="dxa" w:w="34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Ort, Datum</w:t>
            </w:r>
          </w:p>
        </w:tc>
        <w:tc>
          <w:tcPr>
            <w:tcW w:type="dxa" w:w="62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4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Unterschrift</w:t>
            </w:r>
          </w:p>
        </w:tc>
        <w:tc>
          <w:tcPr>
            <w:tcW w:type="dxa" w:w="62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bl>
    <w:p>
      <w:r>
        <w:br w:type="page"/>
      </w:r>
    </w:p>
    <w:p>
      <w:pPr>
        <w:spacing w:after="40" w:before="0" w:line="260"/>
      </w:pPr>
      <w:r>
        <w:rPr>
          <w:rFonts w:ascii="Arial" w:cs="Arial" w:eastAsia="Arial" w:hAnsi="Arial"/>
          <w:b/>
          <w:bCs/>
          <w:i w:val="false"/>
          <w:iCs w:val="false"/>
          <w:color w:val="B23A18"/>
          <w:sz w:val="34"/>
          <w:szCs w:val="34"/>
        </w:rPr>
        <w:t xml:space="preserve">Vorlage zum Ausfüllen</w:t>
      </w:r>
    </w:p>
    <w:p>
      <w:pPr>
        <w:spacing w:after="60" w:before="0" w:line="260"/>
      </w:pPr>
      <w:r>
        <w:rPr>
          <w:rFonts w:ascii="Arial" w:cs="Arial" w:eastAsia="Arial" w:hAnsi="Arial"/>
          <w:b w:val="false"/>
          <w:bCs w:val="false"/>
          <w:i w:val="false"/>
          <w:iCs w:val="false"/>
          <w:color w:val="4A4A45"/>
          <w:sz w:val="16"/>
          <w:szCs w:val="16"/>
        </w:rPr>
        <w:t xml:space="preserve">Dieselbe Struktur, leer. Eine Seite, nicht zwei – was hier nicht draufpasst, gehört in die Anlagen.</w:t>
      </w:r>
    </w:p>
    <w:p>
      <w:pPr>
        <w:keepNext/>
        <w:pBdr>
          <w:bottom w:val="single" w:color="B23A18" w:sz="4"/>
        </w:pBdr>
        <w:spacing w:after="100" w:before="260" w:line="260"/>
      </w:pPr>
      <w:r>
        <w:rPr>
          <w:rFonts w:ascii="Arial" w:cs="Arial" w:eastAsia="Arial" w:hAnsi="Arial"/>
          <w:b/>
          <w:bCs/>
          <w:i w:val="false"/>
          <w:iCs w:val="false"/>
          <w:color w:val="B23A18"/>
          <w:sz w:val="24"/>
          <w:szCs w:val="24"/>
        </w:rPr>
        <w:t xml:space="preserve">Objekt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100"/>
        <w:gridCol w:w="6538"/>
      </w:tblGrid>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Adresse</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Typ, Baujahr</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Wohnfläche</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Einheiten in der WEG</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Energieausweis</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Zustand, letzte Maßnahmen</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bl>
    <w:p>
      <w:pPr>
        <w:keepNext/>
        <w:pBdr>
          <w:bottom w:val="single" w:color="B23A18" w:sz="4"/>
        </w:pBdr>
        <w:spacing w:after="100" w:before="260" w:line="260"/>
      </w:pPr>
      <w:r>
        <w:rPr>
          <w:rFonts w:ascii="Arial" w:cs="Arial" w:eastAsia="Arial" w:hAnsi="Arial"/>
          <w:b/>
          <w:bCs/>
          <w:i w:val="false"/>
          <w:iCs w:val="false"/>
          <w:color w:val="B23A18"/>
          <w:sz w:val="24"/>
          <w:szCs w:val="24"/>
        </w:rPr>
        <w:t xml:space="preserve">Kaufpreis und Investition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100"/>
        <w:gridCol w:w="6538"/>
      </w:tblGrid>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Kaufpreis</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Kaufnebenkosten</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Gesamtinvestition</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Kaufpreis je m²</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bl>
    <w:p>
      <w:pPr>
        <w:keepNext/>
        <w:pBdr>
          <w:bottom w:val="single" w:color="B23A18" w:sz="4"/>
        </w:pBdr>
        <w:spacing w:after="100" w:before="260" w:line="260"/>
      </w:pPr>
      <w:r>
        <w:rPr>
          <w:rFonts w:ascii="Arial" w:cs="Arial" w:eastAsia="Arial" w:hAnsi="Arial"/>
          <w:b/>
          <w:bCs/>
          <w:i w:val="false"/>
          <w:iCs w:val="false"/>
          <w:color w:val="B23A18"/>
          <w:sz w:val="24"/>
          <w:szCs w:val="24"/>
        </w:rPr>
        <w:t xml:space="preserve">Ertrag</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100"/>
        <w:gridCol w:w="6538"/>
      </w:tblGrid>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Ist-Kaltmiete</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Ortsübliche Vergleichsmiete</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Kaufpreisfaktor</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Bruttomietrendite</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Nicht umlagefähige Kosten</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Nettomietrendite</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bl>
    <w:p>
      <w:pPr>
        <w:keepNext/>
        <w:pBdr>
          <w:bottom w:val="single" w:color="B23A18" w:sz="4"/>
        </w:pBdr>
        <w:spacing w:after="100" w:before="260" w:line="260"/>
      </w:pPr>
      <w:r>
        <w:rPr>
          <w:rFonts w:ascii="Arial" w:cs="Arial" w:eastAsia="Arial" w:hAnsi="Arial"/>
          <w:b/>
          <w:bCs/>
          <w:i w:val="false"/>
          <w:iCs w:val="false"/>
          <w:color w:val="B23A18"/>
          <w:sz w:val="24"/>
          <w:szCs w:val="24"/>
        </w:rPr>
        <w:t xml:space="preserve">Finanzierungswunsch</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100"/>
        <w:gridCol w:w="6538"/>
      </w:tblGrid>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Darlehensbetrag</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Eigenkapital und Herkunft</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Beleihungsauslauf</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Zinsbindung</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Anfängliche Tilgung, Sondertilgung</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31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Kapitaldienst</w:t>
            </w:r>
          </w:p>
        </w:tc>
        <w:tc>
          <w:tcPr>
            <w:tcW w:type="dxa" w:w="65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bl>
    <w:p>
      <w:pPr>
        <w:keepNext/>
        <w:pBdr>
          <w:bottom w:val="single" w:color="B23A18" w:sz="4"/>
        </w:pBdr>
        <w:spacing w:after="100" w:before="260" w:line="260"/>
      </w:pPr>
      <w:r>
        <w:rPr>
          <w:rFonts w:ascii="Arial" w:cs="Arial" w:eastAsia="Arial" w:hAnsi="Arial"/>
          <w:b/>
          <w:bCs/>
          <w:i w:val="false"/>
          <w:iCs w:val="false"/>
          <w:color w:val="B23A18"/>
          <w:sz w:val="24"/>
          <w:szCs w:val="24"/>
        </w:rPr>
        <w:t xml:space="preserve">Antragsteller in drei Zeilen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00"/>
        <w:gridCol w:w="9238"/>
      </w:tblGrid>
      <w:tr>
        <w:tc>
          <w:tcPr>
            <w:tcW w:type="dxa" w:w="4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 </w:t>
            </w:r>
          </w:p>
        </w:tc>
        <w:tc>
          <w:tcPr>
            <w:tcW w:type="dxa" w:w="92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4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 </w:t>
            </w:r>
          </w:p>
        </w:tc>
        <w:tc>
          <w:tcPr>
            <w:tcW w:type="dxa" w:w="92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4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 </w:t>
            </w:r>
          </w:p>
        </w:tc>
        <w:tc>
          <w:tcPr>
            <w:tcW w:type="dxa" w:w="92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bl>
    <w:p>
      <w:pPr>
        <w:keepNext/>
        <w:pBdr>
          <w:bottom w:val="single" w:color="B23A18" w:sz="4"/>
        </w:pBdr>
        <w:spacing w:after="100" w:before="260" w:line="260"/>
      </w:pPr>
      <w:r>
        <w:rPr>
          <w:rFonts w:ascii="Arial" w:cs="Arial" w:eastAsia="Arial" w:hAnsi="Arial"/>
          <w:b/>
          <w:bCs/>
          <w:i w:val="false"/>
          <w:iCs w:val="false"/>
          <w:color w:val="B23A18"/>
          <w:sz w:val="24"/>
          <w:szCs w:val="24"/>
        </w:rPr>
        <w:t xml:space="preserve">Was an diesem Deal nicht glänzt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00"/>
        <w:gridCol w:w="9238"/>
      </w:tblGrid>
      <w:tr>
        <w:tc>
          <w:tcPr>
            <w:tcW w:type="dxa" w:w="4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 </w:t>
            </w:r>
          </w:p>
        </w:tc>
        <w:tc>
          <w:tcPr>
            <w:tcW w:type="dxa" w:w="92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4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 </w:t>
            </w:r>
          </w:p>
        </w:tc>
        <w:tc>
          <w:tcPr>
            <w:tcW w:type="dxa" w:w="92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r>
        <w:tc>
          <w:tcPr>
            <w:tcW w:type="dxa" w:w="400"/>
            <w:tcBorders>
              <w:top w:val="none" w:color="FFFFFF" w:sz="0"/>
              <w:left w:val="none" w:color="FFFFFF" w:sz="0"/>
              <w:bottom w:val="none" w:color="FFFFFF" w:sz="0"/>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19"/>
                <w:szCs w:val="19"/>
              </w:rPr>
              <w:t xml:space="preserve"> </w:t>
            </w:r>
          </w:p>
        </w:tc>
        <w:tc>
          <w:tcPr>
            <w:tcW w:type="dxa" w:w="9238"/>
            <w:tcBorders>
              <w:top w:val="none" w:color="FFFFFF" w:sz="0"/>
              <w:left w:val="none" w:color="FFFFFF" w:sz="0"/>
              <w:bottom w:val="single" w:color="E3DDD0" w:sz="4"/>
              <w:right w:val="none" w:color="FFFFFF" w:sz="0"/>
            </w:tcBorders>
            <w:tcMar>
              <w:top w:type="dxa" w:w="90"/>
              <w:left w:type="dxa" w:w="100"/>
              <w:bottom w:type="dxa" w:w="90"/>
              <w:right w:type="dxa" w:w="100"/>
            </w:tcMar>
            <w:vAlign w:val="center"/>
          </w:tcPr>
          <w:p>
            <w:pPr>
              <w:spacing w:after="20" w:before="0" w:line="260"/>
            </w:pPr>
            <w:r>
              <w:rPr>
                <w:rFonts w:ascii="Arial" w:cs="Arial" w:eastAsia="Arial" w:hAnsi="Arial"/>
                <w:b w:val="false"/>
                <w:bCs w:val="false"/>
                <w:i w:val="false"/>
                <w:iCs w:val="false"/>
                <w:color w:val="1C1C1A"/>
                <w:sz w:val="20"/>
                <w:szCs w:val="20"/>
              </w:rPr>
              <w:t xml:space="preserve"/>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DDD0" w:sz="4"/>
      </w:pBdr>
      <w:spacing w:before="120"/>
    </w:pPr>
    <w:r>
      <w:rPr>
        <w:rFonts w:ascii="Arial" w:cs="Arial" w:eastAsia="Arial" w:hAnsi="Arial"/>
        <w:b w:val="false"/>
        <w:bCs w:val="false"/>
        <w:i w:val="false"/>
        <w:iCs w:val="false"/>
        <w:color w:val="4A4A45"/>
        <w:sz w:val="13"/>
        <w:szCs w:val="13"/>
      </w:rPr>
      <w:t xml:space="preserve">Diese Vorlage dient ausschließlich der allgemeinen Information. Sie ersetzt keine individuelle steuerliche oder rechtliche Beratung im Einzelfall.   ·   steuerschredder.de/vermieter   ·   Seite </w:t>
    </w:r>
    <w:r>
      <w:rPr>
        <w:rFonts w:ascii="Arial" w:cs="Arial" w:eastAsia="Arial" w:hAnsi="Arial"/>
        <w:color w:val="4A4A45"/>
        <w:sz w:val="13"/>
        <w:szCs w:val="13"/>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3DDD0" w:sz="4"/>
      </w:pBdr>
      <w:spacing w:after="200"/>
    </w:pPr>
    <w:r>
      <w:rPr>
        <w:rFonts w:ascii="Arial" w:cs="Arial" w:eastAsia="Arial" w:hAnsi="Arial"/>
        <w:b w:val="false"/>
        <w:bCs w:val="false"/>
        <w:i w:val="false"/>
        <w:iCs w:val="false"/>
        <w:color w:val="4A4A45"/>
        <w:sz w:val="15"/>
        <w:szCs w:val="15"/>
      </w:rPr>
      <w:t xml:space="preserve">STEUER</w:t>
    </w:r>
    <w:r>
      <w:rPr>
        <w:rFonts w:ascii="Arial" w:cs="Arial" w:eastAsia="Arial" w:hAnsi="Arial"/>
        <w:b/>
        <w:bCs/>
        <w:i w:val="false"/>
        <w:iCs w:val="false"/>
        <w:color w:val="B23A18"/>
        <w:sz w:val="15"/>
        <w:szCs w:val="15"/>
      </w:rPr>
      <w:t xml:space="preserve">SCHREDDER</w:t>
    </w:r>
    <w:r>
      <w:rPr>
        <w:rFonts w:ascii="Arial" w:cs="Arial" w:eastAsia="Arial" w:hAnsi="Arial"/>
        <w:b w:val="false"/>
        <w:bCs w:val="false"/>
        <w:i w:val="false"/>
        <w:iCs w:val="false"/>
        <w:color w:val="4A4A45"/>
        <w:sz w:val="15"/>
        <w:szCs w:val="15"/>
      </w:rPr>
      <w:t xml:space="preserve">   ·   Deal-Zusammenfassung  ·  Kapitel 3.2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Muster-Deal-Zusammenfassung</dc:title>
  <dc:creator>Steuerschredder</dc:creator>
  <cp:lastModifiedBy>Un-named</cp:lastModifiedBy>
  <cp:revision>1</cp:revision>
  <dcterms:created xsi:type="dcterms:W3CDTF">2026-08-26T13:19:16.724Z</dcterms:created>
  <dcterms:modified xsi:type="dcterms:W3CDTF">2026-08-26T13:19:16.724Z</dcterms:modified>
</cp:coreProperties>
</file>

<file path=docProps/custom.xml><?xml version="1.0" encoding="utf-8"?>
<Properties xmlns="http://schemas.openxmlformats.org/officeDocument/2006/custom-properties" xmlns:vt="http://schemas.openxmlformats.org/officeDocument/2006/docPropsVTypes"/>
</file>