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60"/>
      </w:pPr>
      <w:r>
        <w:rPr>
          <w:rFonts w:ascii="Arial" w:cs="Arial" w:eastAsia="Arial" w:hAnsi="Arial"/>
          <w:b/>
          <w:bCs/>
          <w:i w:val="false"/>
          <w:iCs w:val="false"/>
          <w:color w:val="B23A18"/>
          <w:sz w:val="34"/>
          <w:szCs w:val="34"/>
        </w:rPr>
        <w:t xml:space="preserve">Besichtigungs-Checkliste</w:t>
      </w:r>
    </w:p>
    <w:p>
      <w:pPr>
        <w:spacing w:after="200" w:before="0" w:line="2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4A4A45"/>
          <w:sz w:val="20"/>
          <w:szCs w:val="20"/>
        </w:rPr>
        <w:t xml:space="preserve">Zum Ausdrucken und Mitnehmen  ·  Kapitel 2.3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600"/>
        <w:gridCol w:w="7038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Objekt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Datum, Uhrzeit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Wetter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wichtig für die Beurteilung von Feuchtigkeit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Anwesend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Verkäufer, Makler, Mieter, eigene Begleitung</w:t>
            </w:r>
          </w:p>
        </w:tc>
      </w:tr>
    </w:tbl>
    <w:p>
      <w:pPr>
        <w:keepNext/>
        <w:pBdr>
          <w:bottom w:val="single" w:color="B23A18" w:sz="4"/>
        </w:pBdr>
        <w:spacing w:after="100" w:before="260" w:line="260"/>
      </w:pPr>
      <w:r>
        <w:rPr>
          <w:rFonts w:ascii="Arial" w:cs="Arial" w:eastAsia="Arial" w:hAnsi="Arial"/>
          <w:b/>
          <w:bCs/>
          <w:i w:val="false"/>
          <w:iCs w:val="false"/>
          <w:color w:val="B23A18"/>
          <w:sz w:val="24"/>
          <w:szCs w:val="24"/>
        </w:rPr>
        <w:t xml:space="preserve">A · Umfeld und Mikrolage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"/>
        <w:gridCol w:w="9298"/>
      </w:tblGrid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Straßenlärm zur Besichtigungszeit beurteilt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einmal zur Hauptverkehrszeit wiederkommen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Nahversorgung, Haltestelle, Schule zu Fuß erreichbar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Zustand der Nachbargebäude, Leerstände in der Straße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Parksituation am Abend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Mobilfunkempfang in der Wohnung geprüft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ein häufiger Mietgrund und selten im Exposé</w:t>
            </w:r>
          </w:p>
        </w:tc>
      </w:tr>
    </w:tbl>
    <w:p>
      <w:pPr>
        <w:keepNext/>
        <w:pBdr>
          <w:bottom w:val="single" w:color="B23A18" w:sz="4"/>
        </w:pBdr>
        <w:spacing w:after="100" w:before="260" w:line="260"/>
      </w:pPr>
      <w:r>
        <w:rPr>
          <w:rFonts w:ascii="Arial" w:cs="Arial" w:eastAsia="Arial" w:hAnsi="Arial"/>
          <w:b/>
          <w:bCs/>
          <w:i w:val="false"/>
          <w:iCs w:val="false"/>
          <w:color w:val="B23A18"/>
          <w:sz w:val="24"/>
          <w:szCs w:val="24"/>
        </w:rPr>
        <w:t xml:space="preserve">B · Die fünf Substanzpunkte</w:t>
      </w:r>
    </w:p>
    <w:p>
      <w:pPr>
        <w:spacing w:after="60" w:before="0" w:line="2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4A4A45"/>
          <w:sz w:val="16"/>
          <w:szCs w:val="16"/>
        </w:rPr>
        <w:t xml:space="preserve">Hier liegt das Geld. Wenn nur fünf Dinge geprüft werden, dann diese.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"/>
        <w:gridCol w:w="9298"/>
      </w:tblGrid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1 · Dach: Alter, Eindeckung, Dämmung, Spuren im Dachboden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Feuchtigkeitsränder an der obersten Geschossdecke ansehen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2 · Fassade und Fenster: Risse, Putzschäden, Verglasung, Baujahr der Fenster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Einfachverglasung oder Fenster vor 1995 sind ein Kostenpunkt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3 · Heizung: Baujahr des Kessels, Energieträger, Wartungsprotokoll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Typenschild fotografieren – das Baujahr steht dort und nicht im Exposé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4 · Elektrik: Zählerschrank, Sicherungen, Anzahl der Steckdosen je Raum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Schraubsicherungen deuten auf eine Anlage vor 1980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5 · Feuchtigkeit und Keller: Geruch, Salzausblühungen, Kellerwände, Dusche und Bad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Nase und Handrücken sind hier zuverlässiger als das Auge</w:t>
            </w:r>
          </w:p>
        </w:tc>
      </w:tr>
    </w:tbl>
    <w:p>
      <w:pPr>
        <w:keepNext/>
        <w:pBdr>
          <w:bottom w:val="single" w:color="B23A18" w:sz="4"/>
        </w:pBdr>
        <w:spacing w:after="100" w:before="260" w:line="260"/>
      </w:pPr>
      <w:r>
        <w:rPr>
          <w:rFonts w:ascii="Arial" w:cs="Arial" w:eastAsia="Arial" w:hAnsi="Arial"/>
          <w:b/>
          <w:bCs/>
          <w:i w:val="false"/>
          <w:iCs w:val="false"/>
          <w:color w:val="B23A18"/>
          <w:sz w:val="24"/>
          <w:szCs w:val="24"/>
        </w:rPr>
        <w:t xml:space="preserve">C · Die Wohnung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"/>
        <w:gridCol w:w="9298"/>
      </w:tblGrid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Grundriss praktisch, Zimmer möblierbar, Durchgangszimmer?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Bad mit Fenster oder Entlüftung, Zustand der Fliesen und Fugen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Küche: Anschlüsse vorhanden, Einbauküche im Kaufpreis enthalten?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gesondert im Vertrag ausweisen – das senkt die Grunderwerbsteuer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Boden- und Wandbeläge, Renovierungsbedarf vor Neuvermietung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Schallschutz zur Nachbarwohnung und zum Treppenhaus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Balkon, Keller, Stellplatz: vorhanden, im Kaufpreis enthalten, Sondernutzungsrecht?</w:t>
            </w:r>
          </w:p>
        </w:tc>
      </w:tr>
    </w:tbl>
    <w:p>
      <w:r>
        <w:br w:type="page"/>
      </w:r>
    </w:p>
    <w:p>
      <w:pPr>
        <w:keepNext/>
        <w:pBdr>
          <w:bottom w:val="single" w:color="B23A18" w:sz="4"/>
        </w:pBdr>
        <w:spacing w:after="100" w:before="260" w:line="260"/>
      </w:pPr>
      <w:r>
        <w:rPr>
          <w:rFonts w:ascii="Arial" w:cs="Arial" w:eastAsia="Arial" w:hAnsi="Arial"/>
          <w:b/>
          <w:bCs/>
          <w:i w:val="false"/>
          <w:iCs w:val="false"/>
          <w:color w:val="B23A18"/>
          <w:sz w:val="24"/>
          <w:szCs w:val="24"/>
        </w:rPr>
        <w:t xml:space="preserve">D · Der WEG-Teil</w:t>
      </w:r>
    </w:p>
    <w:p>
      <w:pPr>
        <w:spacing w:after="60" w:before="0" w:line="2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4A4A45"/>
          <w:sz w:val="16"/>
          <w:szCs w:val="16"/>
        </w:rPr>
        <w:t xml:space="preserve">Der Teil, der nach dem Kauf am teuersten wird, wenn man ihn vor dem Kauf überspringt.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"/>
        <w:gridCol w:w="9298"/>
      </w:tblGrid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Protokolle der letzten drei Eigentümerversammlungen angefordert und gelesen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auf beschlossene, aber noch nicht ausgeführte Maßnahmen achten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Beschlusssammlung eingesehen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Höhe der Erhaltungsrücklage je m² erfragt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unter 15 €/m² ist dünn, über 30 €/m² beruhigend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Wirtschaftsplan des laufenden Jahres erhalten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Sonderumlagen der letzten fünf Jahre und geplante Sonderumlagen erfragt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Hausgeld aufgeschlüsselt: umlagefähiger und nicht umlagefähiger Teil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nur der nicht umlagefähige Teil belastet Deinen Cashflow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Teilungserklärung und Aufteilungsplan gelesen, Sondernutzungsrechte geprüft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Verwalter: Name, Bestellung bis wann, Erreichbarkeit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Zahlungsrückstände anderer Eigentümer erfragt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sie landen am Ende bei der Gemeinschaft</w:t>
            </w:r>
          </w:p>
        </w:tc>
      </w:tr>
    </w:tbl>
    <w:p>
      <w:pPr>
        <w:keepNext/>
        <w:pBdr>
          <w:bottom w:val="single" w:color="B23A18" w:sz="4"/>
        </w:pBdr>
        <w:spacing w:after="100" w:before="260" w:line="260"/>
      </w:pPr>
      <w:r>
        <w:rPr>
          <w:rFonts w:ascii="Arial" w:cs="Arial" w:eastAsia="Arial" w:hAnsi="Arial"/>
          <w:b/>
          <w:bCs/>
          <w:i w:val="false"/>
          <w:iCs w:val="false"/>
          <w:color w:val="B23A18"/>
          <w:sz w:val="24"/>
          <w:szCs w:val="24"/>
        </w:rPr>
        <w:t xml:space="preserve">E · Gebäudeenergiegesetz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"/>
        <w:gridCol w:w="9298"/>
      </w:tblGrid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Nachrüstpflichten nach §§ 47, 71, 72 GEG geprüft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fallen innerhalb von zwei Jahren nach Kauf Kesseltausch, Rohrdämmung oder Dämmung der obersten Geschossdecke an?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Energieausweis liegt vor, Kennwert und Klasse notiert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Zuständigkeit geklärt: Gemeinschaft oder Sondereigentum</w:t>
            </w:r>
          </w:p>
        </w:tc>
      </w:tr>
    </w:tbl>
    <w:p>
      <w:pPr>
        <w:keepNext/>
        <w:pBdr>
          <w:bottom w:val="single" w:color="B23A18" w:sz="4"/>
        </w:pBdr>
        <w:spacing w:after="100" w:before="260" w:line="260"/>
      </w:pPr>
      <w:r>
        <w:rPr>
          <w:rFonts w:ascii="Arial" w:cs="Arial" w:eastAsia="Arial" w:hAnsi="Arial"/>
          <w:b/>
          <w:bCs/>
          <w:i w:val="false"/>
          <w:iCs w:val="false"/>
          <w:color w:val="B23A18"/>
          <w:sz w:val="24"/>
          <w:szCs w:val="24"/>
        </w:rPr>
        <w:t xml:space="preserve">F · Mietverhältnis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"/>
        <w:gridCol w:w="9298"/>
      </w:tblGrid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Mietvertrag gelesen, Laufzeit, Kündigungsausschluss, Staffel oder Index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Ist-Miete gegen die ortsübliche Vergleichsmiete gestellt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Kaution: Höhe, Anlageform, Nachweis der insolvenzfesten Anlage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Zahlungsverhalten der letzten zwölf Monate nachgewiesen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Betriebskostenabrechnungen der letzten zwei Jahre eingesehen</w:t>
            </w:r>
          </w:p>
        </w:tc>
      </w:tr>
      <w:tr>
        <w:tc>
          <w:tcPr>
            <w:tcW w:type="dxa" w:w="340"/>
            <w:tcBorders>
              <w:top w:val="single" w:color="4A4A45" w:sz="4"/>
              <w:left w:val="single" w:color="4A4A45" w:sz="4"/>
              <w:bottom w:val="single" w:color="4A4A45" w:sz="4"/>
              <w:right w:val="single" w:color="4A4A45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  <w:tc>
          <w:tcPr>
            <w:tcW w:type="dxa" w:w="9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Mieterhöhungspotenzial nach § 558 BGB abgeschätzt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Kappungsgrenze und Sperrfristen beachten</w:t>
            </w:r>
          </w:p>
        </w:tc>
      </w:tr>
    </w:tbl>
    <w:p>
      <w:pPr>
        <w:keepNext/>
        <w:pBdr>
          <w:bottom w:val="single" w:color="B23A18" w:sz="4"/>
        </w:pBdr>
        <w:spacing w:after="100" w:before="260" w:line="260"/>
      </w:pPr>
      <w:r>
        <w:rPr>
          <w:rFonts w:ascii="Arial" w:cs="Arial" w:eastAsia="Arial" w:hAnsi="Arial"/>
          <w:b/>
          <w:bCs/>
          <w:i w:val="false"/>
          <w:iCs w:val="false"/>
          <w:color w:val="B23A18"/>
          <w:sz w:val="24"/>
          <w:szCs w:val="24"/>
        </w:rPr>
        <w:t xml:space="preserve">G · Fazit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6238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Was mir gefallen hat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 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Was mich Geld kosten wird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 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Geschätzter Aufwand in den ersten 24 Monaten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Preisabschlag, den ich dafür verhandle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1C1A"/>
                <w:sz w:val="19"/>
                <w:szCs w:val="19"/>
              </w:rPr>
              <w:t xml:space="preserve">Entscheidung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single" w:color="E3DDD0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2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4A45"/>
                <w:sz w:val="15"/>
                <w:szCs w:val="15"/>
              </w:rPr>
              <w:t xml:space="preserve">weiterverfolgen / nachfassen / raus</w:t>
            </w:r>
          </w:p>
        </w:tc>
      </w:tr>
    </w:tbl>
    <w:tbl>
      <w:tblPr>
        <w:tblW w:type="dxa" w:w="9638"/>
        <w:tblBorders>
          <w:top w:val="none" w:color="FFFFFF" w:sz="0"/>
          <w:left w:val="single" w:color="B23A18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B23A18" w:sz="18"/>
              <w:bottom w:val="none" w:color="FFFFFF" w:sz="0"/>
              <w:right w:val="none" w:color="FFFFFF" w:sz="0"/>
            </w:tcBorders>
            <w:shd w:fill="FBF9F5" w:color="auto" w:val="clear"/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8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4A45"/>
                <w:sz w:val="17"/>
                <w:szCs w:val="17"/>
              </w:rPr>
              <w:t xml:space="preserve">Zwei Regeln aus der Praxis: Fotografiere jedes Typenschild und jeden Zählerstand – am Abend erinnerst Du Dich an nichts davon. Und geh nie allein zur zweiten Besichtigung.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4A45"/>
                <w:sz w:val="17"/>
                <w:szCs w:val="17"/>
              </w:rPr>
              <w:t xml:space="preserve">Bei unklaren Bauschäden gehört vor dem Kaufabschluss ein unabhängiger Bausachverständiger dazu. Sein Honorar ist der günstigste Teil dieses Geschäfts.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DDD0" w:sz="4"/>
      </w:pBdr>
      <w:spacing w:before="120"/>
    </w:pPr>
    <w:r>
      <w:rPr>
        <w:rFonts w:ascii="Arial" w:cs="Arial" w:eastAsia="Arial" w:hAnsi="Arial"/>
        <w:b w:val="false"/>
        <w:bCs w:val="false"/>
        <w:i w:val="false"/>
        <w:iCs w:val="false"/>
        <w:color w:val="4A4A45"/>
        <w:sz w:val="13"/>
        <w:szCs w:val="13"/>
      </w:rPr>
      <w:t xml:space="preserve">Diese Vorlage dient ausschließlich der allgemeinen Information. Sie ersetzt keine individuelle steuerliche oder rechtliche Beratung im Einzelfall.   ·   steuerschredder.de/vermieter   ·   Seite </w:t>
    </w:r>
    <w:r>
      <w:rPr>
        <w:rFonts w:ascii="Arial" w:cs="Arial" w:eastAsia="Arial" w:hAnsi="Arial"/>
        <w:color w:val="4A4A45"/>
        <w:sz w:val="13"/>
        <w:szCs w:val="13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3DDD0" w:sz="4"/>
      </w:pBdr>
      <w:spacing w:after="200"/>
    </w:pPr>
    <w:r>
      <w:rPr>
        <w:rFonts w:ascii="Arial" w:cs="Arial" w:eastAsia="Arial" w:hAnsi="Arial"/>
        <w:b w:val="false"/>
        <w:bCs w:val="false"/>
        <w:i w:val="false"/>
        <w:iCs w:val="false"/>
        <w:color w:val="4A4A45"/>
        <w:sz w:val="15"/>
        <w:szCs w:val="15"/>
      </w:rPr>
      <w:t xml:space="preserve">STEUER</w:t>
    </w:r>
    <w:r>
      <w:rPr>
        <w:rFonts w:ascii="Arial" w:cs="Arial" w:eastAsia="Arial" w:hAnsi="Arial"/>
        <w:b/>
        <w:bCs/>
        <w:i w:val="false"/>
        <w:iCs w:val="false"/>
        <w:color w:val="B23A18"/>
        <w:sz w:val="15"/>
        <w:szCs w:val="15"/>
      </w:rPr>
      <w:t xml:space="preserve">SCHREDDER</w:t>
    </w:r>
    <w:r>
      <w:rPr>
        <w:rFonts w:ascii="Arial" w:cs="Arial" w:eastAsia="Arial" w:hAnsi="Arial"/>
        <w:b w:val="false"/>
        <w:bCs w:val="false"/>
        <w:i w:val="false"/>
        <w:iCs w:val="false"/>
        <w:color w:val="4A4A45"/>
        <w:sz w:val="15"/>
        <w:szCs w:val="15"/>
      </w:rPr>
      <w:t xml:space="preserve">   ·   Besichtigungs-Checkliste  ·  Kapitel 2.3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Besichtigungs-Checkliste</dc:title>
  <dc:creator>Steuerschredder</dc:creator>
  <cp:lastModifiedBy>Un-named</cp:lastModifiedBy>
  <cp:revision>1</cp:revision>
  <dcterms:created xsi:type="dcterms:W3CDTF">2026-08-26T13:20:17.967Z</dcterms:created>
  <dcterms:modified xsi:type="dcterms:W3CDTF">2026-08-26T13:20:17.967Z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